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0F" w:rsidRDefault="00D1540F" w:rsidP="00D1540F">
      <w:r>
        <w:rPr>
          <w:rFonts w:hint="eastAsia"/>
        </w:rPr>
        <w:t>シリーズ人権教育　第１３５回</w:t>
      </w:r>
    </w:p>
    <w:p w:rsidR="00D1540F" w:rsidRPr="00D1540F" w:rsidRDefault="00D1540F" w:rsidP="00D1540F">
      <w:pPr>
        <w:rPr>
          <w:rFonts w:asciiTheme="majorEastAsia" w:eastAsiaTheme="majorEastAsia" w:hAnsiTheme="majorEastAsia"/>
          <w:sz w:val="24"/>
          <w:szCs w:val="24"/>
        </w:rPr>
      </w:pPr>
      <w:r w:rsidRPr="00D1540F">
        <w:rPr>
          <w:rFonts w:asciiTheme="majorEastAsia" w:eastAsiaTheme="majorEastAsia" w:hAnsiTheme="majorEastAsia" w:hint="eastAsia"/>
          <w:sz w:val="24"/>
          <w:szCs w:val="24"/>
        </w:rPr>
        <w:t>マイノリティ（少数派）</w:t>
      </w:r>
    </w:p>
    <w:p w:rsidR="00D1540F" w:rsidRPr="00D1540F" w:rsidRDefault="00D1540F" w:rsidP="00D1540F">
      <w:pPr>
        <w:rPr>
          <w:rFonts w:asciiTheme="majorEastAsia" w:eastAsiaTheme="majorEastAsia" w:hAnsiTheme="majorEastAsia"/>
          <w:sz w:val="24"/>
          <w:szCs w:val="24"/>
        </w:rPr>
      </w:pPr>
      <w:r w:rsidRPr="00D1540F">
        <w:rPr>
          <w:rFonts w:asciiTheme="majorEastAsia" w:eastAsiaTheme="majorEastAsia" w:hAnsiTheme="majorEastAsia" w:hint="eastAsia"/>
          <w:sz w:val="24"/>
          <w:szCs w:val="24"/>
        </w:rPr>
        <w:t>について考えてみよう</w:t>
      </w:r>
    </w:p>
    <w:p w:rsidR="00D1540F" w:rsidRDefault="00D1540F" w:rsidP="00D1540F"/>
    <w:p w:rsidR="00D1540F" w:rsidRPr="00D343D0" w:rsidRDefault="00D1540F" w:rsidP="00D1540F">
      <w:pPr>
        <w:rPr>
          <w:rFonts w:asciiTheme="majorEastAsia" w:eastAsiaTheme="majorEastAsia" w:hAnsiTheme="majorEastAsia"/>
        </w:rPr>
      </w:pPr>
      <w:r w:rsidRPr="00D343D0">
        <w:rPr>
          <w:rFonts w:asciiTheme="majorEastAsia" w:eastAsiaTheme="majorEastAsia" w:hAnsiTheme="majorEastAsia" w:hint="eastAsia"/>
        </w:rPr>
        <w:t>階段を歩いて</w:t>
      </w:r>
    </w:p>
    <w:p w:rsidR="00D1540F" w:rsidRPr="00D1540F" w:rsidRDefault="00DB5FD1" w:rsidP="00D1540F">
      <w:pPr>
        <w:rPr>
          <w:rFonts w:asciiTheme="majorEastAsia" w:eastAsiaTheme="majorEastAsia" w:hAnsiTheme="majorEastAsia"/>
        </w:rPr>
      </w:pPr>
      <w:r w:rsidRPr="00D343D0">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72CA106A" wp14:editId="4CE4B256">
                <wp:simplePos x="0" y="0"/>
                <wp:positionH relativeFrom="column">
                  <wp:posOffset>-49530</wp:posOffset>
                </wp:positionH>
                <wp:positionV relativeFrom="paragraph">
                  <wp:posOffset>1720215</wp:posOffset>
                </wp:positionV>
                <wp:extent cx="1019175" cy="10096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1917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3AB9" w:rsidRDefault="00BC3AB9">
                            <w:r>
                              <w:rPr>
                                <w:noProof/>
                              </w:rPr>
                              <w:drawing>
                                <wp:inline distT="0" distB="0" distL="0" distR="0" wp14:anchorId="525876C3" wp14:editId="26D0F135">
                                  <wp:extent cx="838200" cy="78190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78190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9pt;margin-top:135.45pt;width:80.2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" filled="f" stroked="f" strokeweight=".5pt">
                <v:textbox>
                  <w:txbxContent>
                    <w:p w:rsidR="00BC3AB9" w:rsidRDefault="00BC3AB9">
                      <w:r>
                        <w:rPr>
                          <w:noProof/>
                        </w:rPr>
                        <w:drawing>
                          <wp:inline distT="0" distB="0" distL="0" distR="0" wp14:anchorId="2E74AB2B" wp14:editId="4CD7552E">
                            <wp:extent cx="838200" cy="78190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8200" cy="781903"/>
                                    </a:xfrm>
                                    <a:prstGeom prst="rect">
                                      <a:avLst/>
                                    </a:prstGeom>
                                    <a:noFill/>
                                    <a:ln>
                                      <a:noFill/>
                                    </a:ln>
                                  </pic:spPr>
                                </pic:pic>
                              </a:graphicData>
                            </a:graphic>
                          </wp:inline>
                        </w:drawing>
                      </w:r>
                    </w:p>
                  </w:txbxContent>
                </v:textbox>
              </v:shape>
            </w:pict>
          </mc:Fallback>
        </mc:AlternateContent>
      </w:r>
      <w:r w:rsidR="00D1540F" w:rsidRPr="00D343D0">
        <w:rPr>
          <w:rFonts w:asciiTheme="majorEastAsia" w:eastAsiaTheme="majorEastAsia" w:hAnsiTheme="majorEastAsia" w:hint="eastAsia"/>
        </w:rPr>
        <w:t>上り下りするのは</w:t>
      </w:r>
      <w:r w:rsidR="00D1540F" w:rsidRPr="00D343D0">
        <w:rPr>
          <w:rFonts w:ascii="MingLiU" w:eastAsia="MingLiU" w:hAnsi="MingLiU" w:cs="MingLiU" w:hint="eastAsia"/>
        </w:rPr>
        <w:t>﹁</w:t>
      </w:r>
      <w:r w:rsidR="00D1540F" w:rsidRPr="00D343D0">
        <w:rPr>
          <w:rFonts w:asciiTheme="majorEastAsia" w:eastAsiaTheme="majorEastAsia" w:hAnsiTheme="majorEastAsia" w:cs="ＭＳ 明朝" w:hint="eastAsia"/>
        </w:rPr>
        <w:t>ふつう</w:t>
      </w:r>
      <w:r w:rsidR="00D1540F" w:rsidRPr="00D343D0">
        <w:rPr>
          <w:rFonts w:ascii="MingLiU" w:eastAsia="MingLiU" w:hAnsi="MingLiU" w:cs="MingLiU" w:hint="eastAsia"/>
        </w:rPr>
        <w:t>﹂</w:t>
      </w:r>
      <w:r w:rsidR="00D1540F" w:rsidRPr="00D343D0">
        <w:rPr>
          <w:rFonts w:asciiTheme="majorEastAsia" w:eastAsiaTheme="majorEastAsia" w:hAnsiTheme="majorEastAsia" w:cs="ＭＳ 明朝" w:hint="eastAsia"/>
        </w:rPr>
        <w:t>？</w:t>
      </w:r>
    </w:p>
    <w:p w:rsidR="00D1540F" w:rsidRDefault="00D1540F" w:rsidP="00D1540F">
      <w:r>
        <w:rPr>
          <w:rFonts w:hint="eastAsia"/>
        </w:rPr>
        <w:t xml:space="preserve">　あなたが自分の足で歩いて階段を上がれるとして、突然、すべての住人が背中に翼を持つ社会に投げ込まれたらどうなるでしょうか。</w:t>
      </w:r>
    </w:p>
    <w:p w:rsidR="00D1540F" w:rsidRDefault="00D1540F" w:rsidP="00D1540F">
      <w:r>
        <w:rPr>
          <w:rFonts w:hint="eastAsia"/>
        </w:rPr>
        <w:t xml:space="preserve">　そこには、おそらく階段というものがありません。みんな翼で飛んで上下の階に移動するのが「ふつう」だからです。背中に翼を持つ人々に手伝ってもらわない限り、あなたは目的の階へ移動することができません。</w:t>
      </w:r>
    </w:p>
    <w:p w:rsidR="00D1540F" w:rsidRDefault="00D1540F" w:rsidP="00D1540F">
      <w:r>
        <w:rPr>
          <w:rFonts w:hint="eastAsia"/>
        </w:rPr>
        <w:t xml:space="preserve">　このように、何が「ふつう」であるかは、相対的に決まるものなのです。</w:t>
      </w:r>
    </w:p>
    <w:p w:rsidR="00D1540F" w:rsidRDefault="00D1540F" w:rsidP="00D1540F">
      <w:pPr>
        <w:rPr>
          <w:rFonts w:asciiTheme="majorEastAsia" w:eastAsiaTheme="majorEastAsia" w:hAnsiTheme="majorEastAsia"/>
        </w:rPr>
      </w:pPr>
    </w:p>
    <w:p w:rsidR="00D1540F" w:rsidRPr="00D343D0" w:rsidRDefault="00D1540F" w:rsidP="00D1540F">
      <w:pPr>
        <w:rPr>
          <w:rFonts w:asciiTheme="majorEastAsia" w:eastAsiaTheme="majorEastAsia" w:hAnsiTheme="majorEastAsia"/>
        </w:rPr>
      </w:pPr>
      <w:r w:rsidRPr="00D343D0">
        <w:rPr>
          <w:rFonts w:asciiTheme="majorEastAsia" w:eastAsiaTheme="majorEastAsia" w:hAnsiTheme="majorEastAsia" w:hint="eastAsia"/>
        </w:rPr>
        <w:t>右利きが</w:t>
      </w:r>
      <w:r w:rsidRPr="00D343D0">
        <w:rPr>
          <w:rFonts w:ascii="MingLiU" w:eastAsia="MingLiU" w:hAnsi="MingLiU" w:cs="MingLiU" w:hint="eastAsia"/>
        </w:rPr>
        <w:t>﹁</w:t>
      </w:r>
      <w:r w:rsidRPr="00D343D0">
        <w:rPr>
          <w:rFonts w:asciiTheme="majorEastAsia" w:eastAsiaTheme="majorEastAsia" w:hAnsiTheme="majorEastAsia" w:cs="ＭＳ 明朝" w:hint="eastAsia"/>
        </w:rPr>
        <w:t>ふつう</w:t>
      </w:r>
      <w:r w:rsidRPr="00D343D0">
        <w:rPr>
          <w:rFonts w:ascii="MingLiU" w:eastAsia="MingLiU" w:hAnsi="MingLiU" w:cs="MingLiU" w:hint="eastAsia"/>
        </w:rPr>
        <w:t>﹂</w:t>
      </w:r>
      <w:r w:rsidRPr="00D343D0">
        <w:rPr>
          <w:rFonts w:asciiTheme="majorEastAsia" w:eastAsiaTheme="majorEastAsia" w:hAnsiTheme="majorEastAsia" w:cs="ＭＳ 明朝" w:hint="eastAsia"/>
        </w:rPr>
        <w:t>？</w:t>
      </w:r>
    </w:p>
    <w:p w:rsidR="00D1540F" w:rsidRDefault="00D1540F" w:rsidP="00D1540F">
      <w:r>
        <w:rPr>
          <w:rFonts w:hint="eastAsia"/>
        </w:rPr>
        <w:t xml:space="preserve">　次の「２５ます計算」をしてみてください。縦軸と横軸の数字を足して、すべてのますを埋めてください。</w:t>
      </w:r>
    </w:p>
    <w:p w:rsidR="00A40D18" w:rsidRDefault="00A40D18" w:rsidP="00D1540F">
      <w:pPr>
        <w:rPr>
          <w:rFonts w:hint="eastAsia"/>
        </w:rPr>
      </w:pPr>
    </w:p>
    <w:p w:rsidR="00A40D18" w:rsidRDefault="00A40D18" w:rsidP="00D1540F">
      <w:pPr>
        <w:rPr>
          <w:rFonts w:hint="eastAsia"/>
        </w:rPr>
      </w:pPr>
    </w:p>
    <w:p w:rsidR="00A40D18" w:rsidRDefault="00A40D18" w:rsidP="00D1540F">
      <w:pPr>
        <w:rPr>
          <w:rFonts w:hint="eastAsia"/>
        </w:rPr>
      </w:pPr>
    </w:p>
    <w:p w:rsidR="00A40D18" w:rsidRDefault="00A40D18" w:rsidP="00D1540F">
      <w:pPr>
        <w:rPr>
          <w:rFonts w:hint="eastAsia"/>
        </w:rPr>
      </w:pPr>
      <w:bookmarkStart w:id="0" w:name="_GoBack"/>
      <w:bookmarkEnd w:id="0"/>
    </w:p>
    <w:p w:rsidR="00A40D18" w:rsidRDefault="00A40D18" w:rsidP="00D1540F">
      <w:pPr>
        <w:rPr>
          <w:rFonts w:hint="eastAsia"/>
        </w:rPr>
      </w:pPr>
    </w:p>
    <w:p w:rsidR="00A40D18" w:rsidRDefault="00A40D18" w:rsidP="00D1540F">
      <w:pPr>
        <w:rPr>
          <w:rFonts w:hint="eastAsia"/>
        </w:rPr>
      </w:pPr>
    </w:p>
    <w:p w:rsidR="00D1540F" w:rsidRDefault="00D1540F" w:rsidP="00D1540F"/>
    <w:p w:rsidR="00D1540F" w:rsidRDefault="00A40D18" w:rsidP="00D1540F">
      <w:r>
        <w:rPr>
          <w:noProof/>
        </w:rPr>
        <mc:AlternateContent>
          <mc:Choice Requires="wps">
            <w:drawing>
              <wp:anchor distT="0" distB="0" distL="114300" distR="114300" simplePos="0" relativeHeight="251660288" behindDoc="0" locked="0" layoutInCell="1" allowOverlap="1" wp14:anchorId="0855238A" wp14:editId="45411FE0">
                <wp:simplePos x="0" y="0"/>
                <wp:positionH relativeFrom="column">
                  <wp:posOffset>-30480</wp:posOffset>
                </wp:positionH>
                <wp:positionV relativeFrom="paragraph">
                  <wp:posOffset>34291</wp:posOffset>
                </wp:positionV>
                <wp:extent cx="1676400" cy="15811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76400" cy="1581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2280" w:type="dxa"/>
                              <w:tblInd w:w="84" w:type="dxa"/>
                              <w:tblCellMar>
                                <w:left w:w="99" w:type="dxa"/>
                                <w:right w:w="99" w:type="dxa"/>
                              </w:tblCellMar>
                              <w:tblLook w:val="04A0" w:firstRow="1" w:lastRow="0" w:firstColumn="1" w:lastColumn="0" w:noHBand="0" w:noVBand="1"/>
                            </w:tblPr>
                            <w:tblGrid>
                              <w:gridCol w:w="380"/>
                              <w:gridCol w:w="380"/>
                              <w:gridCol w:w="380"/>
                              <w:gridCol w:w="380"/>
                              <w:gridCol w:w="380"/>
                              <w:gridCol w:w="419"/>
                            </w:tblGrid>
                            <w:tr w:rsidR="00A40D18" w:rsidRPr="00A40D18" w:rsidTr="00A40D18">
                              <w:trPr>
                                <w:trHeight w:val="360"/>
                              </w:trPr>
                              <w:tc>
                                <w:tcPr>
                                  <w:tcW w:w="380"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７</w:t>
                                  </w:r>
                                </w:p>
                              </w:tc>
                              <w:tc>
                                <w:tcPr>
                                  <w:tcW w:w="380" w:type="dxa"/>
                                  <w:tcBorders>
                                    <w:top w:val="single" w:sz="8" w:space="0" w:color="auto"/>
                                    <w:left w:val="nil"/>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３</w:t>
                                  </w:r>
                                </w:p>
                              </w:tc>
                              <w:tc>
                                <w:tcPr>
                                  <w:tcW w:w="380" w:type="dxa"/>
                                  <w:tcBorders>
                                    <w:top w:val="single" w:sz="8" w:space="0" w:color="auto"/>
                                    <w:left w:val="nil"/>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８</w:t>
                                  </w:r>
                                </w:p>
                              </w:tc>
                              <w:tc>
                                <w:tcPr>
                                  <w:tcW w:w="380" w:type="dxa"/>
                                  <w:tcBorders>
                                    <w:top w:val="single" w:sz="8" w:space="0" w:color="auto"/>
                                    <w:left w:val="nil"/>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２</w:t>
                                  </w:r>
                                </w:p>
                              </w:tc>
                              <w:tc>
                                <w:tcPr>
                                  <w:tcW w:w="380" w:type="dxa"/>
                                  <w:tcBorders>
                                    <w:top w:val="single" w:sz="8" w:space="0" w:color="auto"/>
                                    <w:left w:val="nil"/>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９</w:t>
                                  </w:r>
                                </w:p>
                              </w:tc>
                              <w:tc>
                                <w:tcPr>
                                  <w:tcW w:w="380" w:type="dxa"/>
                                  <w:tcBorders>
                                    <w:top w:val="single" w:sz="8" w:space="0" w:color="auto"/>
                                    <w:left w:val="nil"/>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w:t>
                                  </w:r>
                                </w:p>
                              </w:tc>
                            </w:tr>
                            <w:tr w:rsidR="00A40D18" w:rsidRPr="00A40D18" w:rsidTr="00A40D18">
                              <w:trPr>
                                <w:trHeight w:val="36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４</w:t>
                                  </w:r>
                                </w:p>
                              </w:tc>
                            </w:tr>
                            <w:tr w:rsidR="00A40D18" w:rsidRPr="00A40D18" w:rsidTr="00A40D18">
                              <w:trPr>
                                <w:trHeight w:val="36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５</w:t>
                                  </w:r>
                                </w:p>
                              </w:tc>
                            </w:tr>
                            <w:tr w:rsidR="00A40D18" w:rsidRPr="00A40D18" w:rsidTr="00A40D18">
                              <w:trPr>
                                <w:trHeight w:val="36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１</w:t>
                                  </w:r>
                                </w:p>
                              </w:tc>
                            </w:tr>
                            <w:tr w:rsidR="00A40D18" w:rsidRPr="00A40D18" w:rsidTr="00A40D18">
                              <w:trPr>
                                <w:trHeight w:val="36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６</w:t>
                                  </w:r>
                                </w:p>
                              </w:tc>
                            </w:tr>
                            <w:tr w:rsidR="00A40D18" w:rsidRPr="00A40D18" w:rsidTr="00A40D18">
                              <w:trPr>
                                <w:trHeight w:val="36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８</w:t>
                                  </w:r>
                                </w:p>
                              </w:tc>
                            </w:tr>
                          </w:tbl>
                          <w:p w:rsidR="00A40D18" w:rsidRDefault="00A40D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2.4pt;margin-top:2.7pt;width:132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" filled="f" stroked="f" strokeweight=".5pt">
                <v:textbox>
                  <w:txbxContent>
                    <w:tbl>
                      <w:tblPr>
                        <w:tblW w:w="2280" w:type="dxa"/>
                        <w:tblInd w:w="84" w:type="dxa"/>
                        <w:tblCellMar>
                          <w:left w:w="99" w:type="dxa"/>
                          <w:right w:w="99" w:type="dxa"/>
                        </w:tblCellMar>
                        <w:tblLook w:val="04A0" w:firstRow="1" w:lastRow="0" w:firstColumn="1" w:lastColumn="0" w:noHBand="0" w:noVBand="1"/>
                      </w:tblPr>
                      <w:tblGrid>
                        <w:gridCol w:w="380"/>
                        <w:gridCol w:w="380"/>
                        <w:gridCol w:w="380"/>
                        <w:gridCol w:w="380"/>
                        <w:gridCol w:w="380"/>
                        <w:gridCol w:w="419"/>
                      </w:tblGrid>
                      <w:tr w:rsidR="00A40D18" w:rsidRPr="00A40D18" w:rsidTr="00A40D18">
                        <w:trPr>
                          <w:trHeight w:val="360"/>
                        </w:trPr>
                        <w:tc>
                          <w:tcPr>
                            <w:tcW w:w="380" w:type="dxa"/>
                            <w:tcBorders>
                              <w:top w:val="single" w:sz="8" w:space="0" w:color="auto"/>
                              <w:left w:val="single" w:sz="8" w:space="0" w:color="auto"/>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７</w:t>
                            </w:r>
                          </w:p>
                        </w:tc>
                        <w:tc>
                          <w:tcPr>
                            <w:tcW w:w="380" w:type="dxa"/>
                            <w:tcBorders>
                              <w:top w:val="single" w:sz="8" w:space="0" w:color="auto"/>
                              <w:left w:val="nil"/>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３</w:t>
                            </w:r>
                          </w:p>
                        </w:tc>
                        <w:tc>
                          <w:tcPr>
                            <w:tcW w:w="380" w:type="dxa"/>
                            <w:tcBorders>
                              <w:top w:val="single" w:sz="8" w:space="0" w:color="auto"/>
                              <w:left w:val="nil"/>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８</w:t>
                            </w:r>
                          </w:p>
                        </w:tc>
                        <w:tc>
                          <w:tcPr>
                            <w:tcW w:w="380" w:type="dxa"/>
                            <w:tcBorders>
                              <w:top w:val="single" w:sz="8" w:space="0" w:color="auto"/>
                              <w:left w:val="nil"/>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２</w:t>
                            </w:r>
                          </w:p>
                        </w:tc>
                        <w:tc>
                          <w:tcPr>
                            <w:tcW w:w="380" w:type="dxa"/>
                            <w:tcBorders>
                              <w:top w:val="single" w:sz="8" w:space="0" w:color="auto"/>
                              <w:left w:val="nil"/>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９</w:t>
                            </w:r>
                          </w:p>
                        </w:tc>
                        <w:tc>
                          <w:tcPr>
                            <w:tcW w:w="380" w:type="dxa"/>
                            <w:tcBorders>
                              <w:top w:val="single" w:sz="8" w:space="0" w:color="auto"/>
                              <w:left w:val="nil"/>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w:t>
                            </w:r>
                          </w:p>
                        </w:tc>
                      </w:tr>
                      <w:tr w:rsidR="00A40D18" w:rsidRPr="00A40D18" w:rsidTr="00A40D18">
                        <w:trPr>
                          <w:trHeight w:val="36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４</w:t>
                            </w:r>
                          </w:p>
                        </w:tc>
                      </w:tr>
                      <w:tr w:rsidR="00A40D18" w:rsidRPr="00A40D18" w:rsidTr="00A40D18">
                        <w:trPr>
                          <w:trHeight w:val="36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５</w:t>
                            </w:r>
                          </w:p>
                        </w:tc>
                      </w:tr>
                      <w:tr w:rsidR="00A40D18" w:rsidRPr="00A40D18" w:rsidTr="00A40D18">
                        <w:trPr>
                          <w:trHeight w:val="36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１</w:t>
                            </w:r>
                          </w:p>
                        </w:tc>
                      </w:tr>
                      <w:tr w:rsidR="00A40D18" w:rsidRPr="00A40D18" w:rsidTr="00A40D18">
                        <w:trPr>
                          <w:trHeight w:val="36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６</w:t>
                            </w:r>
                          </w:p>
                        </w:tc>
                      </w:tr>
                      <w:tr w:rsidR="00A40D18" w:rsidRPr="00A40D18" w:rsidTr="00A40D18">
                        <w:trPr>
                          <w:trHeight w:val="360"/>
                        </w:trPr>
                        <w:tc>
                          <w:tcPr>
                            <w:tcW w:w="380" w:type="dxa"/>
                            <w:tcBorders>
                              <w:top w:val="nil"/>
                              <w:left w:val="single" w:sz="8" w:space="0" w:color="auto"/>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auto" w:fill="auto"/>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 xml:space="preserve">　</w:t>
                            </w:r>
                          </w:p>
                        </w:tc>
                        <w:tc>
                          <w:tcPr>
                            <w:tcW w:w="380" w:type="dxa"/>
                            <w:tcBorders>
                              <w:top w:val="nil"/>
                              <w:left w:val="nil"/>
                              <w:bottom w:val="single" w:sz="8" w:space="0" w:color="auto"/>
                              <w:right w:val="single" w:sz="8" w:space="0" w:color="auto"/>
                            </w:tcBorders>
                            <w:shd w:val="clear" w:color="000000" w:fill="92D050"/>
                            <w:noWrap/>
                            <w:vAlign w:val="center"/>
                            <w:hideMark/>
                          </w:tcPr>
                          <w:p w:rsidR="00A40D18" w:rsidRPr="00A40D18" w:rsidRDefault="00A40D18" w:rsidP="00A40D18">
                            <w:pPr>
                              <w:widowControl/>
                              <w:jc w:val="center"/>
                              <w:rPr>
                                <w:rFonts w:ascii="ＭＳ Ｐゴシック" w:eastAsia="ＭＳ Ｐゴシック" w:hAnsi="ＭＳ Ｐゴシック" w:cs="ＭＳ Ｐゴシック"/>
                                <w:b/>
                                <w:bCs/>
                                <w:color w:val="000000"/>
                                <w:kern w:val="0"/>
                                <w:sz w:val="22"/>
                              </w:rPr>
                            </w:pPr>
                            <w:r w:rsidRPr="00A40D18">
                              <w:rPr>
                                <w:rFonts w:ascii="ＭＳ Ｐゴシック" w:eastAsia="ＭＳ Ｐゴシック" w:hAnsi="ＭＳ Ｐゴシック" w:cs="ＭＳ Ｐゴシック" w:hint="eastAsia"/>
                                <w:b/>
                                <w:bCs/>
                                <w:color w:val="000000"/>
                                <w:kern w:val="0"/>
                                <w:sz w:val="22"/>
                              </w:rPr>
                              <w:t>８</w:t>
                            </w:r>
                          </w:p>
                        </w:tc>
                      </w:tr>
                    </w:tbl>
                    <w:p w:rsidR="00A40D18" w:rsidRDefault="00A40D18"/>
                  </w:txbxContent>
                </v:textbox>
              </v:shape>
            </w:pict>
          </mc:Fallback>
        </mc:AlternateContent>
      </w:r>
      <w:r w:rsidR="00D1540F">
        <w:rPr>
          <w:rFonts w:hint="eastAsia"/>
        </w:rPr>
        <w:t xml:space="preserve">　いかがでしたか。右利きの人は、いちいち右手を上げて、隠れた数字を見ながら計算しなければならなかったのではないでしょうか。これで計算力やスピードの向上を求められるとしたらどうでしょうか。</w:t>
      </w:r>
    </w:p>
    <w:p w:rsidR="00D1540F" w:rsidRDefault="00D1540F" w:rsidP="00D1540F">
      <w:r>
        <w:rPr>
          <w:rFonts w:hint="eastAsia"/>
        </w:rPr>
        <w:t xml:space="preserve">　電話機の受話器、カメラのシャッター、</w:t>
      </w:r>
      <w:r>
        <w:rPr>
          <w:rFonts w:hint="eastAsia"/>
        </w:rPr>
        <w:lastRenderedPageBreak/>
        <w:t>パソコンのテンキーやエンターキーの配置は、右利きを前提としていることがほとんどです。</w:t>
      </w:r>
    </w:p>
    <w:p w:rsidR="00D1540F" w:rsidRDefault="00D1540F" w:rsidP="00D1540F">
      <w:pPr>
        <w:rPr>
          <w:rFonts w:asciiTheme="majorEastAsia" w:eastAsiaTheme="majorEastAsia" w:hAnsiTheme="majorEastAsia"/>
        </w:rPr>
      </w:pPr>
    </w:p>
    <w:p w:rsidR="00D1540F" w:rsidRPr="00D1540F" w:rsidRDefault="00D1540F" w:rsidP="00D1540F">
      <w:pPr>
        <w:rPr>
          <w:rFonts w:asciiTheme="majorEastAsia" w:eastAsiaTheme="majorEastAsia" w:hAnsiTheme="majorEastAsia"/>
        </w:rPr>
      </w:pPr>
      <w:r w:rsidRPr="00D1540F">
        <w:rPr>
          <w:rFonts w:asciiTheme="majorEastAsia" w:eastAsiaTheme="majorEastAsia" w:hAnsiTheme="majorEastAsia" w:hint="eastAsia"/>
        </w:rPr>
        <w:t>構造の中の力関係</w:t>
      </w:r>
    </w:p>
    <w:p w:rsidR="00D1540F" w:rsidRDefault="00D1540F" w:rsidP="00D1540F">
      <w:r>
        <w:rPr>
          <w:rFonts w:hint="eastAsia"/>
        </w:rPr>
        <w:t xml:space="preserve">　私たちが暮らしている社会には、立場や関係性を生む、さまざまな構造が存在しています。</w:t>
      </w:r>
    </w:p>
    <w:p w:rsidR="00D1540F" w:rsidRDefault="00D1540F" w:rsidP="00D1540F">
      <w:r>
        <w:rPr>
          <w:rFonts w:hint="eastAsia"/>
        </w:rPr>
        <w:t xml:space="preserve">　子どもと大人、教員と生徒、子ども同士、職場の部下と上司、地域の人と役員など、さまざまな場において「みえない力関係」が働いていて、それが抑圧につながることがあります。</w:t>
      </w:r>
    </w:p>
    <w:p w:rsidR="00D1540F" w:rsidRDefault="00D1540F" w:rsidP="00D1540F">
      <w:r>
        <w:rPr>
          <w:rFonts w:hint="eastAsia"/>
        </w:rPr>
        <w:t xml:space="preserve">　また、何気なく語られる「当たり前」「ふつう」という言葉の中には、多数派が少数派を認めようとしない、差別につながる決めつけや排除が隠れている場合もあります。自分が多数派であることにすら気づいていない場合も多いでしょう。</w:t>
      </w:r>
    </w:p>
    <w:p w:rsidR="00D1540F" w:rsidRDefault="00D1540F" w:rsidP="00D1540F">
      <w:pPr>
        <w:rPr>
          <w:rFonts w:asciiTheme="majorEastAsia" w:eastAsiaTheme="majorEastAsia" w:hAnsiTheme="majorEastAsia"/>
        </w:rPr>
      </w:pPr>
    </w:p>
    <w:p w:rsidR="00D1540F" w:rsidRPr="00D1540F" w:rsidRDefault="00D1540F" w:rsidP="00D1540F">
      <w:pPr>
        <w:rPr>
          <w:rFonts w:asciiTheme="majorEastAsia" w:eastAsiaTheme="majorEastAsia" w:hAnsiTheme="majorEastAsia"/>
        </w:rPr>
      </w:pPr>
      <w:r w:rsidRPr="00D1540F">
        <w:rPr>
          <w:rFonts w:asciiTheme="majorEastAsia" w:eastAsiaTheme="majorEastAsia" w:hAnsiTheme="majorEastAsia" w:hint="eastAsia"/>
        </w:rPr>
        <w:t>人権が守られる社会に</w:t>
      </w:r>
    </w:p>
    <w:p w:rsidR="00D1540F" w:rsidRDefault="00D1540F" w:rsidP="00D1540F">
      <w:r>
        <w:rPr>
          <w:rFonts w:hint="eastAsia"/>
        </w:rPr>
        <w:t xml:space="preserve">　「ふつう」が相対的なものであるならば、社会の構造を変えていくことで、一方が「ふつう」で、もう一方が「ふつうでない」という非対称な状態を解消していくこともできるのではないでしょうか。</w:t>
      </w:r>
    </w:p>
    <w:p w:rsidR="00D1540F" w:rsidRDefault="00D1540F" w:rsidP="00D1540F">
      <w:r>
        <w:rPr>
          <w:rFonts w:hint="eastAsia"/>
        </w:rPr>
        <w:t xml:space="preserve">　すべての人の人権が守られる社会にしていくためには、問題に気づく感覚を持つことがとても大切です。</w:t>
      </w:r>
    </w:p>
    <w:p w:rsidR="00D1540F" w:rsidRDefault="00D1540F" w:rsidP="00D1540F"/>
    <w:p w:rsidR="00D1540F" w:rsidRDefault="00D1540F" w:rsidP="00D1540F">
      <w:r w:rsidRPr="00C20F2D">
        <w:rPr>
          <w:rFonts w:asciiTheme="majorEastAsia" w:eastAsiaTheme="majorEastAsia" w:hAnsiTheme="majorEastAsia" w:hint="eastAsia"/>
        </w:rPr>
        <w:t>参考資料</w:t>
      </w:r>
      <w:r>
        <w:rPr>
          <w:rFonts w:hint="eastAsia"/>
        </w:rPr>
        <w:t>／</w:t>
      </w:r>
    </w:p>
    <w:p w:rsidR="00D1540F" w:rsidRDefault="00D1540F" w:rsidP="00D1540F">
      <w:pPr>
        <w:ind w:left="210" w:hangingChars="100" w:hanging="210"/>
      </w:pPr>
      <w:r>
        <w:rPr>
          <w:rFonts w:hint="eastAsia"/>
        </w:rPr>
        <w:t>○倉本智明著「だれか、ふつうを教えてくれ！」</w:t>
      </w:r>
    </w:p>
    <w:p w:rsidR="000F1C18" w:rsidRDefault="00D1540F" w:rsidP="00D1540F">
      <w:pPr>
        <w:ind w:left="210" w:hangingChars="100" w:hanging="210"/>
      </w:pPr>
      <w:r>
        <w:rPr>
          <w:rFonts w:hint="eastAsia"/>
        </w:rPr>
        <w:t>○財団法人大阪府人権協会編「人権学習シリーズＶｏｌ・７　みえない力　つくりかえる構造」</w:t>
      </w:r>
    </w:p>
    <w:sectPr w:rsidR="000F1C18" w:rsidSect="00D1540F">
      <w:pgSz w:w="16838" w:h="11906" w:orient="landscape"/>
      <w:pgMar w:top="1701" w:right="1985" w:bottom="1701" w:left="1701" w:header="851" w:footer="992" w:gutter="0"/>
      <w:cols w:num="2"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0F"/>
    <w:rsid w:val="000F1C18"/>
    <w:rsid w:val="00A40D18"/>
    <w:rsid w:val="00BC3AB9"/>
    <w:rsid w:val="00C20F2D"/>
    <w:rsid w:val="00D1540F"/>
    <w:rsid w:val="00D343D0"/>
    <w:rsid w:val="00DB5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54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540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54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54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1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5</cp:revision>
  <cp:lastPrinted>2015-09-24T06:56:00Z</cp:lastPrinted>
  <dcterms:created xsi:type="dcterms:W3CDTF">2015-08-25T04:48:00Z</dcterms:created>
  <dcterms:modified xsi:type="dcterms:W3CDTF">2015-09-24T06:57:00Z</dcterms:modified>
</cp:coreProperties>
</file>