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EC" w:rsidRDefault="00ED54EC" w:rsidP="00ED54EC">
      <w:r>
        <w:rPr>
          <w:rFonts w:hint="eastAsia"/>
        </w:rPr>
        <w:t>シリーズ人権教育　第１３３回</w:t>
      </w:r>
    </w:p>
    <w:p w:rsidR="00ED54EC" w:rsidRPr="00ED54EC" w:rsidRDefault="00ED54EC" w:rsidP="00ED54EC">
      <w:pPr>
        <w:rPr>
          <w:rFonts w:asciiTheme="majorEastAsia" w:eastAsiaTheme="majorEastAsia" w:hAnsiTheme="majorEastAsia"/>
          <w:sz w:val="24"/>
          <w:szCs w:val="24"/>
        </w:rPr>
      </w:pPr>
      <w:r w:rsidRPr="00ED54EC">
        <w:rPr>
          <w:rFonts w:asciiTheme="majorEastAsia" w:eastAsiaTheme="majorEastAsia" w:hAnsiTheme="majorEastAsia" w:hint="eastAsia"/>
          <w:sz w:val="24"/>
          <w:szCs w:val="24"/>
        </w:rPr>
        <w:t>女性の力を活かそう</w:t>
      </w:r>
    </w:p>
    <w:p w:rsidR="00ED54EC" w:rsidRDefault="00ED54EC" w:rsidP="00ED54EC"/>
    <w:p w:rsidR="00ED54EC" w:rsidRPr="00ED54EC" w:rsidRDefault="00190335" w:rsidP="00ED54EC">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1853565</wp:posOffset>
                </wp:positionV>
                <wp:extent cx="923925" cy="933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239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0335" w:rsidRDefault="00190335">
                            <w:r w:rsidRPr="00190335">
                              <w:rPr>
                                <w:noProof/>
                              </w:rPr>
                              <w:drawing>
                                <wp:inline distT="0" distB="0" distL="0" distR="0">
                                  <wp:extent cx="685800" cy="762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7.65pt;margin-top:145.95pt;width:72.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" filled="f" stroked="f" strokeweight=".5pt">
                <v:textbox>
                  <w:txbxContent>
                    <w:p w:rsidR="00190335" w:rsidRDefault="00190335">
                      <w:r w:rsidRPr="00190335">
                        <w:drawing>
                          <wp:inline distT="0" distB="0" distL="0" distR="0">
                            <wp:extent cx="685800" cy="762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txbxContent>
                </v:textbox>
              </v:shape>
            </w:pict>
          </mc:Fallback>
        </mc:AlternateContent>
      </w:r>
      <w:r w:rsidR="00ED54EC" w:rsidRPr="00ED54EC">
        <w:rPr>
          <w:rFonts w:asciiTheme="majorEastAsia" w:eastAsiaTheme="majorEastAsia" w:hAnsiTheme="majorEastAsia" w:hint="eastAsia"/>
        </w:rPr>
        <w:t>地域の活力づくりに向けて</w:t>
      </w:r>
    </w:p>
    <w:p w:rsidR="00ED54EC" w:rsidRDefault="00ED54EC" w:rsidP="00ED54EC">
      <w:r>
        <w:rPr>
          <w:rFonts w:hint="eastAsia"/>
        </w:rPr>
        <w:t xml:space="preserve">　毎年６月</w:t>
      </w:r>
      <w:r w:rsidR="00C416A3">
        <w:rPr>
          <w:rFonts w:hint="eastAsia"/>
        </w:rPr>
        <w:t>２３</w:t>
      </w:r>
      <w:r>
        <w:rPr>
          <w:rFonts w:hint="eastAsia"/>
        </w:rPr>
        <w:t>日から６月</w:t>
      </w:r>
      <w:r w:rsidR="00C416A3">
        <w:rPr>
          <w:rFonts w:hint="eastAsia"/>
        </w:rPr>
        <w:t>２９</w:t>
      </w:r>
      <w:r>
        <w:rPr>
          <w:rFonts w:hint="eastAsia"/>
        </w:rPr>
        <w:t>日までは「男女共同参画週間」です。１９９９年６月</w:t>
      </w:r>
      <w:r w:rsidR="00C416A3">
        <w:rPr>
          <w:rFonts w:hint="eastAsia"/>
        </w:rPr>
        <w:t>２３</w:t>
      </w:r>
      <w:r>
        <w:rPr>
          <w:rFonts w:hint="eastAsia"/>
        </w:rPr>
        <w:t>日に「男女共同参画社会基本法」が公布・施行されたことによります。</w:t>
      </w:r>
    </w:p>
    <w:p w:rsidR="00ED54EC" w:rsidRDefault="00ED54EC" w:rsidP="00ED54EC">
      <w:r>
        <w:rPr>
          <w:rFonts w:hint="eastAsia"/>
        </w:rPr>
        <w:t xml:space="preserve">　法律の制定から</w:t>
      </w:r>
      <w:r w:rsidR="00C416A3">
        <w:rPr>
          <w:rFonts w:hint="eastAsia"/>
        </w:rPr>
        <w:t>１４</w:t>
      </w:r>
      <w:r>
        <w:rPr>
          <w:rFonts w:hint="eastAsia"/>
        </w:rPr>
        <w:t>年が経過しましたが、今なお、地域活動の場面では、「団体の代表者は男性、女性は補佐的な役職」という傾向がみられるのではないでしょうか。</w:t>
      </w:r>
    </w:p>
    <w:p w:rsidR="00ED54EC" w:rsidRDefault="00ED54EC" w:rsidP="00ED54EC">
      <w:r>
        <w:rPr>
          <w:rFonts w:hint="eastAsia"/>
        </w:rPr>
        <w:t xml:space="preserve">　しかし、多くの場合、地域活動に参加し、それを実際に支えているのは女性です。その女性のアイディアや気づきを計画段階から男性とともに話し合っていくことで、新たな視点での地域活性化が期待できるのではないでしょうか。</w:t>
      </w:r>
    </w:p>
    <w:p w:rsidR="00ED54EC" w:rsidRDefault="00ED54EC" w:rsidP="00ED54EC">
      <w:pPr>
        <w:rPr>
          <w:rFonts w:asciiTheme="majorEastAsia" w:eastAsiaTheme="majorEastAsia" w:hAnsiTheme="majorEastAsia"/>
          <w:szCs w:val="21"/>
        </w:rPr>
      </w:pPr>
    </w:p>
    <w:p w:rsidR="00ED54EC" w:rsidRPr="00ED54EC" w:rsidRDefault="00ED54EC" w:rsidP="00ED54EC">
      <w:pPr>
        <w:rPr>
          <w:rFonts w:asciiTheme="majorEastAsia" w:eastAsiaTheme="majorEastAsia" w:hAnsiTheme="majorEastAsia"/>
          <w:szCs w:val="21"/>
        </w:rPr>
      </w:pPr>
      <w:r w:rsidRPr="00ED54EC">
        <w:rPr>
          <w:rFonts w:asciiTheme="majorEastAsia" w:eastAsiaTheme="majorEastAsia" w:hAnsiTheme="majorEastAsia" w:hint="eastAsia"/>
          <w:szCs w:val="21"/>
        </w:rPr>
        <w:t>農業分野における女性</w:t>
      </w:r>
    </w:p>
    <w:p w:rsidR="00ED54EC" w:rsidRDefault="00ED54EC" w:rsidP="00ED54EC">
      <w:r>
        <w:rPr>
          <w:rFonts w:hint="eastAsia"/>
        </w:rPr>
        <w:t xml:space="preserve">　緑豊かな田園風景は本市の魅力のひとつです。米の生産量は県内一を誇っています。</w:t>
      </w:r>
    </w:p>
    <w:p w:rsidR="00ED54EC" w:rsidRDefault="00ED54EC" w:rsidP="00ED54EC">
      <w:r>
        <w:rPr>
          <w:rFonts w:hint="eastAsia"/>
        </w:rPr>
        <w:t xml:space="preserve">　そうした農村地域で、注目されているのが、女性の能力の積極的な活用です。</w:t>
      </w:r>
    </w:p>
    <w:p w:rsidR="00ED54EC" w:rsidRDefault="00ED54EC" w:rsidP="00ED54EC"/>
    <w:p w:rsidR="00ED54EC" w:rsidRDefault="00ED54EC" w:rsidP="00ED54EC">
      <w:r>
        <w:rPr>
          <w:rFonts w:hint="eastAsia"/>
        </w:rPr>
        <w:t xml:space="preserve">　農林水産省がとりまとめた資料※によると、女性が参画している経営体は、農産物加工、観光農園、農家民宿、海外への輸出等に取り組んでいる傾向が強いことがわかります。また、女性の基幹的農業従事者のいる経営体は、農産物の販売金額が大きい傾向にあります。</w:t>
      </w:r>
    </w:p>
    <w:p w:rsidR="00C154BD" w:rsidRDefault="00C154BD" w:rsidP="00ED54EC"/>
    <w:p w:rsidR="00C154BD" w:rsidRDefault="00C154BD" w:rsidP="00ED54EC"/>
    <w:p w:rsidR="00C154BD" w:rsidRDefault="00C154BD" w:rsidP="00ED54EC"/>
    <w:p w:rsidR="00C154BD" w:rsidRDefault="00C154BD" w:rsidP="00ED54EC">
      <w:r>
        <w:rPr>
          <w:rFonts w:hint="eastAsia"/>
          <w:noProof/>
        </w:rPr>
        <mc:AlternateContent>
          <mc:Choice Requires="wps">
            <w:drawing>
              <wp:anchor distT="0" distB="0" distL="114300" distR="114300" simplePos="0" relativeHeight="251660288" behindDoc="0" locked="0" layoutInCell="1" allowOverlap="1" wp14:anchorId="5197A374" wp14:editId="416687E3">
                <wp:simplePos x="0" y="0"/>
                <wp:positionH relativeFrom="column">
                  <wp:posOffset>-563880</wp:posOffset>
                </wp:positionH>
                <wp:positionV relativeFrom="paragraph">
                  <wp:posOffset>643890</wp:posOffset>
                </wp:positionV>
                <wp:extent cx="1304925" cy="16097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04925"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4BD" w:rsidRDefault="00C154BD">
                            <w:r>
                              <w:rPr>
                                <w:noProof/>
                              </w:rPr>
                              <w:drawing>
                                <wp:inline distT="0" distB="0" distL="0" distR="0" wp14:anchorId="3B780E93" wp14:editId="07D3EE67">
                                  <wp:extent cx="1133475" cy="14859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508" cy="14898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4.4pt;margin-top:50.7pt;width:102.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" filled="f" stroked="f" strokeweight=".5pt">
                <v:textbox>
                  <w:txbxContent>
                    <w:p w:rsidR="00C154BD" w:rsidRDefault="00C154BD">
                      <w:r>
                        <w:rPr>
                          <w:noProof/>
                        </w:rPr>
                        <w:drawing>
                          <wp:inline distT="0" distB="0" distL="0" distR="0" wp14:anchorId="3B780E93" wp14:editId="07D3EE67">
                            <wp:extent cx="1133475" cy="14859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508" cy="1489876"/>
                                    </a:xfrm>
                                    <a:prstGeom prst="rect">
                                      <a:avLst/>
                                    </a:prstGeom>
                                    <a:noFill/>
                                    <a:ln>
                                      <a:noFill/>
                                    </a:ln>
                                  </pic:spPr>
                                </pic:pic>
                              </a:graphicData>
                            </a:graphic>
                          </wp:inline>
                        </w:drawing>
                      </w:r>
                    </w:p>
                  </w:txbxContent>
                </v:textbox>
              </v:shape>
            </w:pict>
          </mc:Fallback>
        </mc:AlternateContent>
      </w:r>
    </w:p>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p w:rsidR="00C154BD" w:rsidRDefault="00C154BD" w:rsidP="00ED54EC">
      <w:r>
        <w:rPr>
          <w:noProof/>
        </w:rPr>
        <mc:AlternateContent>
          <mc:Choice Requires="wps">
            <w:drawing>
              <wp:anchor distT="0" distB="0" distL="114300" distR="114300" simplePos="0" relativeHeight="251659264" behindDoc="0" locked="0" layoutInCell="1" allowOverlap="1" wp14:anchorId="17F53FB3" wp14:editId="3699709F">
                <wp:simplePos x="0" y="0"/>
                <wp:positionH relativeFrom="column">
                  <wp:posOffset>-182245</wp:posOffset>
                </wp:positionH>
                <wp:positionV relativeFrom="paragraph">
                  <wp:posOffset>333375</wp:posOffset>
                </wp:positionV>
                <wp:extent cx="2971800" cy="1847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971800" cy="184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54BD" w:rsidRDefault="00C154BD">
                            <w:r w:rsidRPr="00C154BD">
                              <w:rPr>
                                <w:noProof/>
                              </w:rPr>
                              <w:drawing>
                                <wp:inline distT="0" distB="0" distL="0" distR="0" wp14:anchorId="0B466BC0" wp14:editId="27A0602C">
                                  <wp:extent cx="2790825" cy="1771650"/>
                                  <wp:effectExtent l="0" t="0" r="9525" b="19050"/>
                                  <wp:docPr id="1" name="グラフ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4.35pt;margin-top:26.25pt;width:234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" fillcolor="white [3201]" strokeweight=".5pt">
                <v:textbox>
                  <w:txbxContent>
                    <w:p w:rsidR="00C154BD" w:rsidRDefault="00C154BD">
                      <w:r w:rsidRPr="00C154BD">
                        <w:rPr>
                          <w:noProof/>
                        </w:rPr>
                        <w:drawing>
                          <wp:inline distT="0" distB="0" distL="0" distR="0" wp14:anchorId="0B466BC0" wp14:editId="27A0602C">
                            <wp:extent cx="2790825" cy="1771650"/>
                            <wp:effectExtent l="0" t="0" r="9525" b="19050"/>
                            <wp:docPr id="1" name="グラフ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rsidR="00ED54EC" w:rsidRDefault="00ED54EC" w:rsidP="00ED54EC">
      <w:r>
        <w:rPr>
          <w:rFonts w:hint="eastAsia"/>
        </w:rPr>
        <w:t xml:space="preserve">　本市においても、味噌やそば、漬物加工等のほか、最近では米粉パンが話題になりました。しかしながら、市内全体からみるとまだそうした取り組みは限られており、経営面においても、農業法人等の組織内で方針決定等に関わる女性役員の数も多くはありません。</w:t>
      </w:r>
    </w:p>
    <w:p w:rsidR="00ED54EC" w:rsidRDefault="00ED54EC" w:rsidP="00ED54EC"/>
    <w:p w:rsidR="00ED54EC" w:rsidRPr="00ED54EC" w:rsidRDefault="00ED54EC" w:rsidP="00ED54EC">
      <w:pPr>
        <w:rPr>
          <w:rFonts w:asciiTheme="majorEastAsia" w:eastAsiaTheme="majorEastAsia" w:hAnsiTheme="majorEastAsia"/>
        </w:rPr>
      </w:pPr>
      <w:r w:rsidRPr="00ED54EC">
        <w:rPr>
          <w:rFonts w:asciiTheme="majorEastAsia" w:eastAsiaTheme="majorEastAsia" w:hAnsiTheme="majorEastAsia" w:hint="eastAsia"/>
        </w:rPr>
        <w:t>食の安心・安全の視点からも</w:t>
      </w:r>
    </w:p>
    <w:p w:rsidR="00ED54EC" w:rsidRDefault="00ED54EC" w:rsidP="00ED54EC">
      <w:r>
        <w:rPr>
          <w:rFonts w:hint="eastAsia"/>
        </w:rPr>
        <w:t xml:space="preserve">　今後、世界規模で経済や流通の仕組みが変わっていくなか、食の安心・安全の確保は、私たちの命にかかる大切な問題です。次世代を担う子どもたちに安全で安心な地元産の農作物を供給する仕組みを、女性の視点を交えて考えることも必要ではないでしょうか。</w:t>
      </w:r>
    </w:p>
    <w:p w:rsidR="00ED54EC" w:rsidRDefault="00ED54EC" w:rsidP="00ED54EC"/>
    <w:p w:rsidR="00ED54EC" w:rsidRDefault="00ED54EC" w:rsidP="00ED54EC">
      <w:r>
        <w:rPr>
          <w:rFonts w:hint="eastAsia"/>
        </w:rPr>
        <w:t xml:space="preserve">　女性と男性が対等な立場で協力しあうライフスタイルの実現。農業分野においても、</w:t>
      </w:r>
    </w:p>
    <w:p w:rsidR="00ED54EC" w:rsidRDefault="00ED54EC" w:rsidP="00ED54EC">
      <w:r>
        <w:rPr>
          <w:rFonts w:hint="eastAsia"/>
        </w:rPr>
        <w:t>より多くの女性が参画し、本市の豊かな農地を生かし、地域の活力が生まれることが期待されます。</w:t>
      </w:r>
    </w:p>
    <w:p w:rsidR="00736EB1" w:rsidRDefault="00ED54EC" w:rsidP="00C416A3">
      <w:pPr>
        <w:ind w:left="420" w:hangingChars="200" w:hanging="420"/>
      </w:pPr>
      <w:r w:rsidRPr="007548FF">
        <w:rPr>
          <w:rFonts w:ascii="MingLiU" w:eastAsia="MingLiU" w:hAnsi="MingLiU" w:cs="MingLiU" w:hint="eastAsia"/>
        </w:rPr>
        <w:t>︻</w:t>
      </w:r>
      <w:r w:rsidRPr="007548FF">
        <w:rPr>
          <w:rFonts w:asciiTheme="majorEastAsia" w:eastAsiaTheme="majorEastAsia" w:hAnsiTheme="majorEastAsia" w:cs="ＭＳ 明朝" w:hint="eastAsia"/>
        </w:rPr>
        <w:t>参</w:t>
      </w:r>
      <w:r w:rsidRPr="007548FF">
        <w:rPr>
          <w:rFonts w:asciiTheme="majorEastAsia" w:eastAsiaTheme="majorEastAsia" w:hAnsiTheme="majorEastAsia" w:hint="eastAsia"/>
        </w:rPr>
        <w:t>考資料</w:t>
      </w:r>
      <w:r w:rsidRPr="007548FF">
        <w:rPr>
          <w:rFonts w:ascii="MingLiU" w:eastAsia="MingLiU" w:hAnsi="MingLiU" w:cs="MingLiU" w:hint="eastAsia"/>
        </w:rPr>
        <w:t>︼</w:t>
      </w:r>
      <w:r>
        <w:rPr>
          <w:rFonts w:ascii="ＭＳ 明朝" w:eastAsia="ＭＳ 明朝" w:hAnsi="ＭＳ 明朝" w:cs="ＭＳ 明朝" w:hint="eastAsia"/>
        </w:rPr>
        <w:t>※「農業経営構</w:t>
      </w:r>
      <w:r>
        <w:rPr>
          <w:rFonts w:hint="eastAsia"/>
        </w:rPr>
        <w:t>造の変化」（平成</w:t>
      </w:r>
      <w:r w:rsidR="00C416A3">
        <w:rPr>
          <w:rFonts w:hint="eastAsia"/>
        </w:rPr>
        <w:t>２４</w:t>
      </w:r>
      <w:bookmarkStart w:id="0" w:name="_GoBack"/>
      <w:bookmarkEnd w:id="0"/>
      <w:r>
        <w:rPr>
          <w:rFonts w:hint="eastAsia"/>
        </w:rPr>
        <w:t>年</w:t>
      </w:r>
      <w:r w:rsidR="00C416A3">
        <w:rPr>
          <w:rFonts w:hint="eastAsia"/>
        </w:rPr>
        <w:t>１２</w:t>
      </w:r>
      <w:r>
        <w:rPr>
          <w:rFonts w:hint="eastAsia"/>
        </w:rPr>
        <w:t>月　農林水産省経営局</w:t>
      </w:r>
      <w:r w:rsidR="00C416A3">
        <w:rPr>
          <w:rFonts w:hint="eastAsia"/>
        </w:rPr>
        <w:t>）</w:t>
      </w:r>
    </w:p>
    <w:sectPr w:rsidR="00736EB1" w:rsidSect="00ED54EC">
      <w:pgSz w:w="16838" w:h="11906" w:orient="landscape"/>
      <w:pgMar w:top="1701" w:right="1985" w:bottom="1701" w:left="1701" w:header="851" w:footer="992" w:gutter="0"/>
      <w:cols w:num="2"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A3" w:rsidRDefault="00C416A3" w:rsidP="00C416A3">
      <w:r>
        <w:separator/>
      </w:r>
    </w:p>
  </w:endnote>
  <w:endnote w:type="continuationSeparator" w:id="0">
    <w:p w:rsidR="00C416A3" w:rsidRDefault="00C416A3" w:rsidP="00C4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A3" w:rsidRDefault="00C416A3" w:rsidP="00C416A3">
      <w:r>
        <w:separator/>
      </w:r>
    </w:p>
  </w:footnote>
  <w:footnote w:type="continuationSeparator" w:id="0">
    <w:p w:rsidR="00C416A3" w:rsidRDefault="00C416A3" w:rsidP="00C41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EC"/>
    <w:rsid w:val="00190335"/>
    <w:rsid w:val="00736EB1"/>
    <w:rsid w:val="007548FF"/>
    <w:rsid w:val="007F03E9"/>
    <w:rsid w:val="00C154BD"/>
    <w:rsid w:val="00C416A3"/>
    <w:rsid w:val="00C81344"/>
    <w:rsid w:val="00DA4F9F"/>
    <w:rsid w:val="00ED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6A3"/>
    <w:pPr>
      <w:tabs>
        <w:tab w:val="center" w:pos="4252"/>
        <w:tab w:val="right" w:pos="8504"/>
      </w:tabs>
      <w:snapToGrid w:val="0"/>
    </w:pPr>
  </w:style>
  <w:style w:type="character" w:customStyle="1" w:styleId="a4">
    <w:name w:val="ヘッダー (文字)"/>
    <w:basedOn w:val="a0"/>
    <w:link w:val="a3"/>
    <w:uiPriority w:val="99"/>
    <w:rsid w:val="00C416A3"/>
  </w:style>
  <w:style w:type="paragraph" w:styleId="a5">
    <w:name w:val="footer"/>
    <w:basedOn w:val="a"/>
    <w:link w:val="a6"/>
    <w:uiPriority w:val="99"/>
    <w:unhideWhenUsed/>
    <w:rsid w:val="00C416A3"/>
    <w:pPr>
      <w:tabs>
        <w:tab w:val="center" w:pos="4252"/>
        <w:tab w:val="right" w:pos="8504"/>
      </w:tabs>
      <w:snapToGrid w:val="0"/>
    </w:pPr>
  </w:style>
  <w:style w:type="character" w:customStyle="1" w:styleId="a6">
    <w:name w:val="フッター (文字)"/>
    <w:basedOn w:val="a0"/>
    <w:link w:val="a5"/>
    <w:uiPriority w:val="99"/>
    <w:rsid w:val="00C416A3"/>
  </w:style>
  <w:style w:type="paragraph" w:styleId="a7">
    <w:name w:val="Balloon Text"/>
    <w:basedOn w:val="a"/>
    <w:link w:val="a8"/>
    <w:uiPriority w:val="99"/>
    <w:semiHidden/>
    <w:unhideWhenUsed/>
    <w:rsid w:val="00C41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16A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6A3"/>
    <w:pPr>
      <w:tabs>
        <w:tab w:val="center" w:pos="4252"/>
        <w:tab w:val="right" w:pos="8504"/>
      </w:tabs>
      <w:snapToGrid w:val="0"/>
    </w:pPr>
  </w:style>
  <w:style w:type="character" w:customStyle="1" w:styleId="a4">
    <w:name w:val="ヘッダー (文字)"/>
    <w:basedOn w:val="a0"/>
    <w:link w:val="a3"/>
    <w:uiPriority w:val="99"/>
    <w:rsid w:val="00C416A3"/>
  </w:style>
  <w:style w:type="paragraph" w:styleId="a5">
    <w:name w:val="footer"/>
    <w:basedOn w:val="a"/>
    <w:link w:val="a6"/>
    <w:uiPriority w:val="99"/>
    <w:unhideWhenUsed/>
    <w:rsid w:val="00C416A3"/>
    <w:pPr>
      <w:tabs>
        <w:tab w:val="center" w:pos="4252"/>
        <w:tab w:val="right" w:pos="8504"/>
      </w:tabs>
      <w:snapToGrid w:val="0"/>
    </w:pPr>
  </w:style>
  <w:style w:type="character" w:customStyle="1" w:styleId="a6">
    <w:name w:val="フッター (文字)"/>
    <w:basedOn w:val="a0"/>
    <w:link w:val="a5"/>
    <w:uiPriority w:val="99"/>
    <w:rsid w:val="00C416A3"/>
  </w:style>
  <w:style w:type="paragraph" w:styleId="a7">
    <w:name w:val="Balloon Text"/>
    <w:basedOn w:val="a"/>
    <w:link w:val="a8"/>
    <w:uiPriority w:val="99"/>
    <w:semiHidden/>
    <w:unhideWhenUsed/>
    <w:rsid w:val="00C41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1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ＭＳ Ｐゴシック"/>
                <a:ea typeface="ＭＳ Ｐゴシック"/>
                <a:cs typeface="ＭＳ Ｐゴシック"/>
              </a:defRPr>
            </a:pPr>
            <a:r>
              <a:rPr lang="ja-JP" altLang="en-US"/>
              <a:t>女性の基幹的農業従事者の有無別、農業生産関連事業の事業種類別農家数（全国）</a:t>
            </a:r>
          </a:p>
        </c:rich>
      </c:tx>
      <c:layout>
        <c:manualLayout>
          <c:xMode val="edge"/>
          <c:yMode val="edge"/>
          <c:x val="8.4269662921348312E-2"/>
          <c:y val="5.4644808743169399E-3"/>
        </c:manualLayout>
      </c:layout>
      <c:overlay val="0"/>
      <c:spPr>
        <a:noFill/>
        <a:ln w="25400">
          <a:noFill/>
        </a:ln>
      </c:spPr>
    </c:title>
    <c:autoTitleDeleted val="0"/>
    <c:plotArea>
      <c:layout>
        <c:manualLayout>
          <c:layoutTarget val="inner"/>
          <c:xMode val="edge"/>
          <c:yMode val="edge"/>
          <c:x val="0.1404494382022472"/>
          <c:y val="0.18032786885245902"/>
          <c:w val="0.6910112359550562"/>
          <c:h val="0.4098360655737705"/>
        </c:manualLayout>
      </c:layout>
      <c:barChart>
        <c:barDir val="col"/>
        <c:grouping val="percentStacked"/>
        <c:varyColors val="0"/>
        <c:ser>
          <c:idx val="0"/>
          <c:order val="0"/>
          <c:tx>
            <c:strRef>
              <c:f>Sheet1!$A$2</c:f>
              <c:strCache>
                <c:ptCount val="1"/>
                <c:pt idx="0">
                  <c:v>女性あり</c:v>
                </c:pt>
              </c:strCache>
            </c:strRef>
          </c:tx>
          <c:spPr>
            <a:solidFill>
              <a:srgbClr val="FF99CC"/>
            </a:solidFill>
            <a:ln w="25400">
              <a:noFill/>
            </a:ln>
          </c:spPr>
          <c:invertIfNegative val="0"/>
          <c:dLbls>
            <c:dLbl>
              <c:idx val="0"/>
              <c:layout/>
              <c:tx>
                <c:rich>
                  <a:bodyPr/>
                  <a:lstStyle/>
                  <a:p>
                    <a:r>
                      <a:rPr lang="en-US" altLang="ja-JP"/>
                      <a:t>72%</a:t>
                    </a:r>
                  </a:p>
                </c:rich>
              </c:tx>
              <c:showLegendKey val="0"/>
              <c:showVal val="0"/>
              <c:showCatName val="0"/>
              <c:showSerName val="0"/>
              <c:showPercent val="0"/>
              <c:showBubbleSize val="0"/>
            </c:dLbl>
            <c:dLbl>
              <c:idx val="1"/>
              <c:layout/>
              <c:tx>
                <c:rich>
                  <a:bodyPr/>
                  <a:lstStyle/>
                  <a:p>
                    <a:r>
                      <a:rPr lang="en-US" altLang="ja-JP"/>
                      <a:t>65%</a:t>
                    </a:r>
                  </a:p>
                </c:rich>
              </c:tx>
              <c:showLegendKey val="0"/>
              <c:showVal val="0"/>
              <c:showCatName val="0"/>
              <c:showSerName val="0"/>
              <c:showPercent val="0"/>
              <c:showBubbleSize val="0"/>
            </c:dLbl>
            <c:dLbl>
              <c:idx val="2"/>
              <c:layout/>
              <c:tx>
                <c:rich>
                  <a:bodyPr/>
                  <a:lstStyle/>
                  <a:p>
                    <a:r>
                      <a:rPr lang="en-US" altLang="ja-JP"/>
                      <a:t>76%</a:t>
                    </a:r>
                  </a:p>
                </c:rich>
              </c:tx>
              <c:showLegendKey val="0"/>
              <c:showVal val="0"/>
              <c:showCatName val="0"/>
              <c:showSerName val="0"/>
              <c:showPercent val="0"/>
              <c:showBubbleSize val="0"/>
            </c:dLbl>
            <c:dLbl>
              <c:idx val="3"/>
              <c:layout/>
              <c:tx>
                <c:rich>
                  <a:bodyPr/>
                  <a:lstStyle/>
                  <a:p>
                    <a:r>
                      <a:rPr lang="en-US" altLang="ja-JP"/>
                      <a:t>60%</a:t>
                    </a:r>
                  </a:p>
                </c:rich>
              </c:tx>
              <c:showLegendKey val="0"/>
              <c:showVal val="0"/>
              <c:showCatName val="0"/>
              <c:showSerName val="0"/>
              <c:showPercent val="0"/>
              <c:showBubbleSize val="0"/>
            </c:dLbl>
            <c:dLbl>
              <c:idx val="4"/>
              <c:layout/>
              <c:tx>
                <c:rich>
                  <a:bodyPr/>
                  <a:lstStyle/>
                  <a:p>
                    <a:r>
                      <a:rPr lang="en-US" altLang="ja-JP"/>
                      <a:t>80%</a:t>
                    </a:r>
                  </a:p>
                </c:rich>
              </c:tx>
              <c:showLegendKey val="0"/>
              <c:showVal val="0"/>
              <c:showCatName val="0"/>
              <c:showSerName val="0"/>
              <c:showPercent val="0"/>
              <c:showBubbleSize val="0"/>
            </c:dLbl>
            <c:dLbl>
              <c:idx val="5"/>
              <c:layout/>
              <c:tx>
                <c:rich>
                  <a:bodyPr/>
                  <a:lstStyle/>
                  <a:p>
                    <a:r>
                      <a:rPr lang="en-US" altLang="ja-JP"/>
                      <a:t>50%</a:t>
                    </a:r>
                  </a:p>
                </c:rich>
              </c:tx>
              <c:showLegendKey val="0"/>
              <c:showVal val="0"/>
              <c:showCatName val="0"/>
              <c:showSerName val="0"/>
              <c:showPercent val="0"/>
              <c:showBubbleSize val="0"/>
            </c:dLbl>
            <c:spPr>
              <a:noFill/>
              <a:ln w="25400">
                <a:noFill/>
              </a:ln>
            </c:spPr>
            <c:txPr>
              <a:bodyPr/>
              <a:lstStyle/>
              <a:p>
                <a:pPr>
                  <a:defRPr sz="9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dLbls>
          <c:cat>
            <c:strRef>
              <c:f>Sheet1!$B$1:$G$1</c:f>
              <c:strCache>
                <c:ptCount val="6"/>
                <c:pt idx="0">
                  <c:v>農産物の加工</c:v>
                </c:pt>
                <c:pt idx="1">
                  <c:v>貸農園・体験農園等</c:v>
                </c:pt>
                <c:pt idx="2">
                  <c:v>観光農園</c:v>
                </c:pt>
                <c:pt idx="3">
                  <c:v>農家民宿</c:v>
                </c:pt>
                <c:pt idx="4">
                  <c:v>海外への輸出</c:v>
                </c:pt>
                <c:pt idx="5">
                  <c:v>消費者に直接販売</c:v>
                </c:pt>
              </c:strCache>
            </c:strRef>
          </c:cat>
          <c:val>
            <c:numRef>
              <c:f>Sheet1!$B$2:$G$2</c:f>
              <c:numCache>
                <c:formatCode>General</c:formatCode>
                <c:ptCount val="6"/>
                <c:pt idx="0">
                  <c:v>0.72</c:v>
                </c:pt>
                <c:pt idx="1">
                  <c:v>0.65</c:v>
                </c:pt>
                <c:pt idx="2">
                  <c:v>0.76</c:v>
                </c:pt>
                <c:pt idx="3">
                  <c:v>0.6</c:v>
                </c:pt>
                <c:pt idx="4">
                  <c:v>0.8</c:v>
                </c:pt>
                <c:pt idx="5">
                  <c:v>0.5</c:v>
                </c:pt>
              </c:numCache>
            </c:numRef>
          </c:val>
        </c:ser>
        <c:ser>
          <c:idx val="1"/>
          <c:order val="1"/>
          <c:tx>
            <c:strRef>
              <c:f>Sheet1!$A$3</c:f>
              <c:strCache>
                <c:ptCount val="1"/>
                <c:pt idx="0">
                  <c:v>女性なし</c:v>
                </c:pt>
              </c:strCache>
            </c:strRef>
          </c:tx>
          <c:spPr>
            <a:solidFill>
              <a:srgbClr val="9999FF"/>
            </a:solidFill>
            <a:ln w="25400">
              <a:noFill/>
            </a:ln>
          </c:spPr>
          <c:invertIfNegative val="0"/>
          <c:dLbls>
            <c:dLbl>
              <c:idx val="0"/>
              <c:layout/>
              <c:tx>
                <c:rich>
                  <a:bodyPr/>
                  <a:lstStyle/>
                  <a:p>
                    <a:r>
                      <a:rPr lang="en-US" altLang="ja-JP"/>
                      <a:t>28%</a:t>
                    </a:r>
                  </a:p>
                </c:rich>
              </c:tx>
              <c:showLegendKey val="0"/>
              <c:showVal val="0"/>
              <c:showCatName val="0"/>
              <c:showSerName val="0"/>
              <c:showPercent val="0"/>
              <c:showBubbleSize val="0"/>
            </c:dLbl>
            <c:dLbl>
              <c:idx val="1"/>
              <c:layout/>
              <c:tx>
                <c:rich>
                  <a:bodyPr/>
                  <a:lstStyle/>
                  <a:p>
                    <a:r>
                      <a:rPr lang="en-US" altLang="ja-JP"/>
                      <a:t>35%</a:t>
                    </a:r>
                  </a:p>
                </c:rich>
              </c:tx>
              <c:showLegendKey val="0"/>
              <c:showVal val="0"/>
              <c:showCatName val="0"/>
              <c:showSerName val="0"/>
              <c:showPercent val="0"/>
              <c:showBubbleSize val="0"/>
            </c:dLbl>
            <c:dLbl>
              <c:idx val="2"/>
              <c:layout/>
              <c:tx>
                <c:rich>
                  <a:bodyPr/>
                  <a:lstStyle/>
                  <a:p>
                    <a:r>
                      <a:rPr lang="en-US" altLang="ja-JP"/>
                      <a:t>24%</a:t>
                    </a:r>
                  </a:p>
                </c:rich>
              </c:tx>
              <c:showLegendKey val="0"/>
              <c:showVal val="0"/>
              <c:showCatName val="0"/>
              <c:showSerName val="0"/>
              <c:showPercent val="0"/>
              <c:showBubbleSize val="0"/>
            </c:dLbl>
            <c:dLbl>
              <c:idx val="3"/>
              <c:layout/>
              <c:tx>
                <c:rich>
                  <a:bodyPr/>
                  <a:lstStyle/>
                  <a:p>
                    <a:r>
                      <a:rPr lang="en-US" altLang="ja-JP"/>
                      <a:t>40%</a:t>
                    </a:r>
                  </a:p>
                </c:rich>
              </c:tx>
              <c:showLegendKey val="0"/>
              <c:showVal val="0"/>
              <c:showCatName val="0"/>
              <c:showSerName val="0"/>
              <c:showPercent val="0"/>
              <c:showBubbleSize val="0"/>
            </c:dLbl>
            <c:dLbl>
              <c:idx val="4"/>
              <c:layout/>
              <c:tx>
                <c:rich>
                  <a:bodyPr/>
                  <a:lstStyle/>
                  <a:p>
                    <a:r>
                      <a:rPr lang="en-US" altLang="ja-JP"/>
                      <a:t>20%</a:t>
                    </a:r>
                  </a:p>
                </c:rich>
              </c:tx>
              <c:showLegendKey val="0"/>
              <c:showVal val="0"/>
              <c:showCatName val="0"/>
              <c:showSerName val="0"/>
              <c:showPercent val="0"/>
              <c:showBubbleSize val="0"/>
            </c:dLbl>
            <c:dLbl>
              <c:idx val="5"/>
              <c:layout/>
              <c:tx>
                <c:rich>
                  <a:bodyPr/>
                  <a:lstStyle/>
                  <a:p>
                    <a:r>
                      <a:rPr lang="en-US" altLang="ja-JP"/>
                      <a:t>50%</a:t>
                    </a:r>
                  </a:p>
                </c:rich>
              </c:tx>
              <c:showLegendKey val="0"/>
              <c:showVal val="0"/>
              <c:showCatName val="0"/>
              <c:showSerName val="0"/>
              <c:showPercent val="0"/>
              <c:showBubbleSize val="0"/>
            </c:dLbl>
            <c:spPr>
              <a:noFill/>
              <a:ln w="25400">
                <a:noFill/>
              </a:ln>
            </c:spPr>
            <c:txPr>
              <a:bodyPr/>
              <a:lstStyle/>
              <a:p>
                <a:pPr>
                  <a:defRPr sz="9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dLbls>
          <c:cat>
            <c:strRef>
              <c:f>Sheet1!$B$1:$G$1</c:f>
              <c:strCache>
                <c:ptCount val="6"/>
                <c:pt idx="0">
                  <c:v>農産物の加工</c:v>
                </c:pt>
                <c:pt idx="1">
                  <c:v>貸農園・体験農園等</c:v>
                </c:pt>
                <c:pt idx="2">
                  <c:v>観光農園</c:v>
                </c:pt>
                <c:pt idx="3">
                  <c:v>農家民宿</c:v>
                </c:pt>
                <c:pt idx="4">
                  <c:v>海外への輸出</c:v>
                </c:pt>
                <c:pt idx="5">
                  <c:v>消費者に直接販売</c:v>
                </c:pt>
              </c:strCache>
            </c:strRef>
          </c:cat>
          <c:val>
            <c:numRef>
              <c:f>Sheet1!$B$3:$G$3</c:f>
              <c:numCache>
                <c:formatCode>General</c:formatCode>
                <c:ptCount val="6"/>
                <c:pt idx="0">
                  <c:v>0.28000000000000003</c:v>
                </c:pt>
                <c:pt idx="1">
                  <c:v>0.35</c:v>
                </c:pt>
                <c:pt idx="2">
                  <c:v>0.24</c:v>
                </c:pt>
                <c:pt idx="3">
                  <c:v>0.4</c:v>
                </c:pt>
                <c:pt idx="4">
                  <c:v>0.2</c:v>
                </c:pt>
                <c:pt idx="5">
                  <c:v>0.5</c:v>
                </c:pt>
              </c:numCache>
            </c:numRef>
          </c:val>
        </c:ser>
        <c:dLbls>
          <c:showLegendKey val="0"/>
          <c:showVal val="0"/>
          <c:showCatName val="0"/>
          <c:showSerName val="0"/>
          <c:showPercent val="0"/>
          <c:showBubbleSize val="0"/>
        </c:dLbls>
        <c:gapWidth val="150"/>
        <c:overlap val="100"/>
        <c:axId val="58694272"/>
        <c:axId val="80228736"/>
      </c:barChart>
      <c:catAx>
        <c:axId val="58694272"/>
        <c:scaling>
          <c:orientation val="minMax"/>
        </c:scaling>
        <c:delete val="1"/>
        <c:axPos val="b"/>
        <c:majorTickMark val="out"/>
        <c:minorTickMark val="none"/>
        <c:tickLblPos val="nextTo"/>
        <c:crossAx val="80228736"/>
        <c:crosses val="autoZero"/>
        <c:auto val="1"/>
        <c:lblAlgn val="ctr"/>
        <c:lblOffset val="100"/>
        <c:noMultiLvlLbl val="0"/>
      </c:catAx>
      <c:valAx>
        <c:axId val="80228736"/>
        <c:scaling>
          <c:orientation val="minMax"/>
        </c:scaling>
        <c:delete val="0"/>
        <c:axPos val="l"/>
        <c:majorGridlines>
          <c:spPr>
            <a:ln w="3175">
              <a:solidFill>
                <a:srgbClr val="000000"/>
              </a:solidFill>
              <a:prstDash val="solid"/>
            </a:ln>
          </c:spPr>
        </c:majorGridlines>
        <c:numFmt formatCode="0%"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58694272"/>
        <c:crosses val="autoZero"/>
        <c:crossBetween val="between"/>
        <c:majorUnit val="0.25"/>
      </c:valAx>
      <c:spPr>
        <a:noFill/>
        <a:ln w="12700">
          <a:solidFill>
            <a:srgbClr val="000000"/>
          </a:solidFill>
          <a:prstDash val="solid"/>
        </a:ln>
      </c:spPr>
    </c:plotArea>
    <c:legend>
      <c:legendPos val="r"/>
      <c:layout>
        <c:manualLayout>
          <c:xMode val="edge"/>
          <c:yMode val="edge"/>
          <c:x val="0.8342696629213483"/>
          <c:y val="0.15846994535519127"/>
          <c:w val="0.16292134831460675"/>
          <c:h val="0.1803278688524590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w="3175">
      <a:solidFill>
        <a:srgbClr val="000000"/>
      </a:solidFill>
      <a:prstDash val="solid"/>
    </a:ln>
  </c:spPr>
  <c:txPr>
    <a:bodyPr/>
    <a:lstStyle/>
    <a:p>
      <a:pPr>
        <a:defRPr sz="9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0.12628</cdr:x>
      <cdr:y>0.58428</cdr:y>
    </cdr:from>
    <cdr:to>
      <cdr:x>0.89761</cdr:x>
      <cdr:y>1</cdr:y>
    </cdr:to>
    <cdr:sp macro="" textlink="">
      <cdr:nvSpPr>
        <cdr:cNvPr id="1026" name="Text Box 2"/>
        <cdr:cNvSpPr txBox="1">
          <a:spLocks xmlns:a="http://schemas.openxmlformats.org/drawingml/2006/main" noChangeArrowheads="1"/>
        </cdr:cNvSpPr>
      </cdr:nvSpPr>
      <cdr:spPr bwMode="auto">
        <a:xfrm xmlns:a="http://schemas.openxmlformats.org/drawingml/2006/main">
          <a:off x="352433" y="1035140"/>
          <a:ext cx="2152641" cy="7365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wordArtVertRtl" wrap="square" lIns="27432" tIns="0" rIns="0" bIns="0" anchor="b" upright="1"/>
        <a:lstStyle xmlns:a="http://schemas.openxmlformats.org/drawingml/2006/main"/>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消費者に</a:t>
          </a: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直接販売</a:t>
          </a:r>
        </a:p>
        <a:p xmlns:a="http://schemas.openxmlformats.org/drawingml/2006/main">
          <a:pPr algn="l" rtl="0">
            <a:defRPr sz="1000"/>
          </a:pPr>
          <a:endParaRPr lang="en-US" altLang="ja-JP" sz="800" b="0" i="0" u="none" strike="noStrike" baseline="0">
            <a:solidFill>
              <a:srgbClr val="000000"/>
            </a:solidFill>
            <a:latin typeface="ＭＳ Ｐゴシック"/>
            <a:ea typeface="ＭＳ Ｐゴシック"/>
          </a:endParaRP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海外への</a:t>
          </a: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輸出</a:t>
          </a:r>
          <a:endParaRPr lang="en-US" altLang="ja-JP" sz="800" b="0" i="0" u="none" strike="noStrike" baseline="0">
            <a:solidFill>
              <a:srgbClr val="000000"/>
            </a:solidFill>
            <a:latin typeface="ＭＳ Ｐゴシック"/>
            <a:ea typeface="ＭＳ Ｐゴシック"/>
          </a:endParaRPr>
        </a:p>
        <a:p xmlns:a="http://schemas.openxmlformats.org/drawingml/2006/main">
          <a:pPr algn="l" rtl="0">
            <a:defRPr sz="1000"/>
          </a:pPr>
          <a:endParaRPr lang="en-US" altLang="ja-JP" sz="800" b="0" i="0" u="none" strike="noStrike" baseline="0">
            <a:solidFill>
              <a:srgbClr val="000000"/>
            </a:solidFill>
            <a:latin typeface="ＭＳ Ｐゴシック"/>
            <a:ea typeface="ＭＳ Ｐゴシック"/>
          </a:endParaRP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農家民宿</a:t>
          </a:r>
        </a:p>
        <a:p xmlns:a="http://schemas.openxmlformats.org/drawingml/2006/main">
          <a:pPr algn="l" rtl="0">
            <a:defRPr sz="1000"/>
          </a:pPr>
          <a:endParaRPr lang="en-US" altLang="ja-JP" sz="800" b="0" i="0" u="none" strike="noStrike" baseline="0">
            <a:solidFill>
              <a:srgbClr val="000000"/>
            </a:solidFill>
            <a:latin typeface="ＭＳ Ｐゴシック"/>
            <a:ea typeface="ＭＳ Ｐゴシック"/>
          </a:endParaRPr>
        </a:p>
        <a:p xmlns:a="http://schemas.openxmlformats.org/drawingml/2006/main">
          <a:pPr algn="l" rtl="0">
            <a:defRPr sz="1000"/>
          </a:pPr>
          <a:endParaRPr lang="en-US" altLang="ja-JP" sz="800" b="0" i="0" u="none" strike="noStrike" baseline="0">
            <a:solidFill>
              <a:srgbClr val="000000"/>
            </a:solidFill>
            <a:latin typeface="ＭＳ Ｐゴシック"/>
            <a:ea typeface="ＭＳ Ｐゴシック"/>
          </a:endParaRP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観光農園</a:t>
          </a:r>
        </a:p>
        <a:p xmlns:a="http://schemas.openxmlformats.org/drawingml/2006/main">
          <a:pPr algn="l" rtl="0">
            <a:defRPr sz="1000"/>
          </a:pPr>
          <a:endParaRPr lang="ja-JP" altLang="en-US" sz="800" b="0" i="0" u="none" strike="noStrike" baseline="0">
            <a:solidFill>
              <a:srgbClr val="000000"/>
            </a:solidFill>
            <a:latin typeface="ＭＳ Ｐゴシック"/>
            <a:ea typeface="ＭＳ Ｐゴシック"/>
          </a:endParaRP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貸農園・</a:t>
          </a: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体験農園等</a:t>
          </a:r>
        </a:p>
        <a:p xmlns:a="http://schemas.openxmlformats.org/drawingml/2006/main">
          <a:pPr algn="l" rtl="0">
            <a:defRPr sz="1000"/>
          </a:pPr>
          <a:endParaRPr lang="ja-JP" altLang="en-US" sz="800" b="0" i="0" u="none" strike="noStrike" baseline="0">
            <a:solidFill>
              <a:srgbClr val="000000"/>
            </a:solidFill>
            <a:latin typeface="ＭＳ Ｐゴシック"/>
            <a:ea typeface="ＭＳ Ｐゴシック"/>
          </a:endParaRP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農産物の</a:t>
          </a:r>
        </a:p>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加工</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HGH</cp:lastModifiedBy>
  <cp:revision>7</cp:revision>
  <dcterms:created xsi:type="dcterms:W3CDTF">2015-08-25T05:21:00Z</dcterms:created>
  <dcterms:modified xsi:type="dcterms:W3CDTF">2015-09-02T06:22:00Z</dcterms:modified>
</cp:coreProperties>
</file>